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Supplemental Materials</w:t>
      </w:r>
    </w:p>
    <w:p>
      <w:pPr>
        <w:pStyle w:val="11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Arsenite efflux limits microbial arsenic volatilization</w:t>
      </w:r>
    </w:p>
    <w:p>
      <w:pPr>
        <w:adjustRightInd w:val="0"/>
        <w:snapToGrid w:val="0"/>
        <w:spacing w:line="480" w:lineRule="auto"/>
        <w:jc w:val="center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Changdong Ke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hint="default" w:ascii="Times New Roman" w:hAnsi="Times New Roman" w:cs="Times New Roman"/>
          <w:sz w:val="20"/>
          <w:szCs w:val="20"/>
        </w:rPr>
        <w:t xml:space="preserve">, Qingyue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Ku</w:t>
      </w:r>
      <w:r>
        <w:rPr>
          <w:rFonts w:hint="default" w:ascii="Times New Roman" w:hAnsi="Times New Roman" w:cs="Times New Roman"/>
          <w:sz w:val="20"/>
          <w:szCs w:val="20"/>
        </w:rPr>
        <w:t>ang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hint="default" w:ascii="Times New Roman" w:hAnsi="Times New Roman" w:cs="Times New Roman"/>
          <w:sz w:val="20"/>
          <w:szCs w:val="20"/>
        </w:rPr>
        <w:t xml:space="preserve">, Chungui Zhao 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1*</w:t>
      </w:r>
      <w:r>
        <w:rPr>
          <w:rFonts w:hint="default" w:ascii="Times New Roman" w:hAnsi="Times New Roman" w:cs="Times New Roman"/>
          <w:sz w:val="20"/>
          <w:szCs w:val="20"/>
        </w:rPr>
        <w:t>, Jiafu Luo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hint="default" w:ascii="Times New Roman" w:hAnsi="Times New Roman" w:cs="Times New Roman"/>
          <w:sz w:val="20"/>
          <w:szCs w:val="20"/>
        </w:rPr>
        <w:t>, Wenzhan</w:t>
      </w:r>
      <w:bookmarkStart w:id="0" w:name="_GoBack"/>
      <w:bookmarkEnd w:id="0"/>
      <w:r>
        <w:rPr>
          <w:rFonts w:hint="default" w:ascii="Times New Roman" w:hAnsi="Times New Roman" w:cs="Times New Roman"/>
          <w:sz w:val="20"/>
          <w:szCs w:val="20"/>
        </w:rPr>
        <w:t xml:space="preserve">g Wei 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hint="default" w:ascii="Times New Roman" w:hAnsi="Times New Roman" w:cs="Times New Roman"/>
          <w:sz w:val="20"/>
          <w:szCs w:val="20"/>
        </w:rPr>
        <w:t xml:space="preserve">, Hend A. Alwathnani </w:t>
      </w:r>
      <w:r>
        <w:rPr>
          <w:rFonts w:hint="default" w:ascii="Times New Roman" w:hAnsi="Times New Roman" w:cs="Times New Roman"/>
          <w:vertAlign w:val="superscript"/>
        </w:rPr>
        <w:t>2</w:t>
      </w:r>
      <w:r>
        <w:rPr>
          <w:rFonts w:hint="default" w:ascii="Times New Roman" w:hAnsi="Times New Roman" w:cs="Times New Roman"/>
        </w:rPr>
        <w:t xml:space="preserve">, </w:t>
      </w:r>
      <w:r>
        <w:rPr>
          <w:rFonts w:hint="default" w:ascii="Times New Roman" w:hAnsi="Times New Roman" w:cs="Times New Roman"/>
          <w:sz w:val="20"/>
          <w:szCs w:val="20"/>
        </w:rPr>
        <w:t xml:space="preserve">Quaiser Saquib 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3</w:t>
      </w:r>
      <w:r>
        <w:rPr>
          <w:rFonts w:hint="default" w:ascii="Times New Roman" w:hAnsi="Times New Roman" w:cs="Times New Roman"/>
          <w:sz w:val="20"/>
          <w:szCs w:val="20"/>
        </w:rPr>
        <w:t xml:space="preserve">, Yanshuang Yu 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4</w:t>
      </w:r>
      <w:r>
        <w:rPr>
          <w:rFonts w:hint="default" w:ascii="Times New Roman" w:hAnsi="Times New Roman" w:cs="Times New Roman"/>
          <w:sz w:val="20"/>
          <w:szCs w:val="20"/>
        </w:rPr>
        <w:t xml:space="preserve">, Christopher Rensing 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4, 5*</w:t>
      </w:r>
      <w:r>
        <w:rPr>
          <w:rFonts w:hint="default" w:ascii="Times New Roman" w:hAnsi="Times New Roman" w:cs="Times New Roman"/>
          <w:sz w:val="20"/>
          <w:szCs w:val="20"/>
        </w:rPr>
        <w:t xml:space="preserve">and Suping Yang 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1*</w:t>
      </w:r>
    </w:p>
    <w:p>
      <w:pPr>
        <w:pStyle w:val="12"/>
        <w:adjustRightInd w:val="0"/>
        <w:snapToGrid w:val="0"/>
        <w:jc w:val="left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  <w:vertAlign w:val="superscript"/>
        </w:rPr>
        <w:t xml:space="preserve">1 </w:t>
      </w:r>
      <w:r>
        <w:rPr>
          <w:rFonts w:hint="default" w:ascii="Times New Roman" w:hAnsi="Times New Roman" w:cs="Times New Roman"/>
          <w:sz w:val="20"/>
          <w:szCs w:val="20"/>
        </w:rPr>
        <w:t>Department of Bioengineering and Biotechnology, Huaqiao University, Xiamen 361021, China</w:t>
      </w:r>
    </w:p>
    <w:p>
      <w:pPr>
        <w:pStyle w:val="12"/>
        <w:adjustRightInd w:val="0"/>
        <w:snapToGrid w:val="0"/>
        <w:jc w:val="left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hint="default" w:ascii="Times New Roman" w:hAnsi="Times New Roman" w:cs="Times New Roman"/>
          <w:sz w:val="20"/>
          <w:szCs w:val="20"/>
        </w:rPr>
        <w:t xml:space="preserve"> Department of Botany and Microbiology, College of Sciences, King Saud University, Riyadh, Saudi Arabia</w:t>
      </w:r>
    </w:p>
    <w:p>
      <w:pPr>
        <w:pStyle w:val="12"/>
        <w:adjustRightInd w:val="0"/>
        <w:snapToGrid w:val="0"/>
        <w:jc w:val="left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3</w:t>
      </w:r>
      <w:r>
        <w:rPr>
          <w:rFonts w:hint="default" w:ascii="Times New Roman" w:hAnsi="Times New Roman" w:cs="Times New Roman"/>
          <w:sz w:val="20"/>
          <w:szCs w:val="20"/>
        </w:rPr>
        <w:t xml:space="preserve"> Zoology Department, College of Sciences, King Saud University, Riyadh, Saudi Arabia</w:t>
      </w:r>
    </w:p>
    <w:p>
      <w:pPr>
        <w:pStyle w:val="12"/>
        <w:adjustRightInd w:val="0"/>
        <w:snapToGrid w:val="0"/>
        <w:jc w:val="left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4</w:t>
      </w:r>
      <w:r>
        <w:rPr>
          <w:rFonts w:hint="default" w:ascii="Times New Roman" w:hAnsi="Times New Roman" w:cs="Times New Roman"/>
          <w:sz w:val="20"/>
          <w:szCs w:val="20"/>
        </w:rPr>
        <w:t xml:space="preserve"> Institute of Environmental Microbiology, College of Resources and Environment, Fujian Agriculture and Forestry University, Fuzhou 350002, China</w:t>
      </w:r>
    </w:p>
    <w:p>
      <w:pPr>
        <w:pStyle w:val="12"/>
        <w:adjustRightInd w:val="0"/>
        <w:snapToGrid w:val="0"/>
        <w:jc w:val="left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5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eastAsia="ITCSymbolStd-MediumItalic" w:cs="Times New Roman"/>
          <w:sz w:val="20"/>
          <w:szCs w:val="20"/>
        </w:rPr>
        <w:t>Key Laboratory of Urban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eastAsia="ITCSymbolStd-MediumItalic" w:cs="Times New Roman"/>
          <w:sz w:val="20"/>
          <w:szCs w:val="20"/>
        </w:rPr>
        <w:t>Environment and Health</w:t>
      </w:r>
      <w:r>
        <w:rPr>
          <w:rFonts w:hint="default" w:ascii="Times New Roman" w:hAnsi="Times New Roman" w:cs="Times New Roman"/>
          <w:sz w:val="20"/>
          <w:szCs w:val="20"/>
        </w:rPr>
        <w:t xml:space="preserve">, </w:t>
      </w:r>
      <w:r>
        <w:rPr>
          <w:rFonts w:hint="default" w:ascii="Times New Roman" w:hAnsi="Times New Roman" w:eastAsia="ITCSymbolStd-MediumItalic" w:cs="Times New Roman"/>
          <w:sz w:val="20"/>
          <w:szCs w:val="20"/>
        </w:rPr>
        <w:t>Institute of Urban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eastAsia="ITCSymbolStd-MediumItalic" w:cs="Times New Roman"/>
          <w:sz w:val="20"/>
          <w:szCs w:val="20"/>
        </w:rPr>
        <w:t>Environment, Chinese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eastAsia="ITCSymbolStd-MediumItalic" w:cs="Times New Roman"/>
          <w:sz w:val="20"/>
          <w:szCs w:val="20"/>
        </w:rPr>
        <w:t>Academy of Sciences,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eastAsia="ITCSymbolStd-MediumItalic" w:cs="Times New Roman"/>
          <w:sz w:val="20"/>
          <w:szCs w:val="20"/>
        </w:rPr>
        <w:t>1799 Jimei Road, Xiamen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eastAsia="ITCSymbolStd-MediumItalic" w:cs="Times New Roman"/>
          <w:sz w:val="20"/>
          <w:szCs w:val="20"/>
        </w:rPr>
        <w:t>361021, China</w:t>
      </w:r>
      <w:r>
        <w:rPr>
          <w:rFonts w:hint="default" w:ascii="Times New Roman" w:hAnsi="Times New Roman" w:cs="Times New Roman"/>
          <w:sz w:val="20"/>
          <w:szCs w:val="20"/>
        </w:rPr>
        <w:tab/>
      </w:r>
    </w:p>
    <w:p>
      <w:pPr>
        <w:pStyle w:val="12"/>
        <w:adjustRightInd w:val="0"/>
        <w:snapToGrid w:val="0"/>
        <w:jc w:val="left"/>
        <w:rPr>
          <w:rFonts w:hint="default" w:ascii="Times New Roman" w:hAnsi="Times New Roman" w:eastAsia="ITCSymbolStd-MediumItalic" w:cs="Times New Roman"/>
          <w:sz w:val="20"/>
          <w:szCs w:val="20"/>
        </w:rPr>
      </w:pPr>
      <w:r>
        <w:rPr>
          <w:rFonts w:hint="default" w:ascii="Times New Roman" w:hAnsi="Times New Roman" w:eastAsia="ITCSymbolStd-MediumItalic" w:cs="Times New Roman"/>
          <w:sz w:val="20"/>
          <w:szCs w:val="20"/>
        </w:rPr>
        <w:t xml:space="preserve"> </w:t>
      </w:r>
    </w:p>
    <w:p>
      <w:pPr>
        <w:pStyle w:val="12"/>
        <w:adjustRightInd w:val="0"/>
        <w:snapToGrid w:val="0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 xml:space="preserve">*Corresponding authors: </w:t>
      </w:r>
    </w:p>
    <w:p>
      <w:pPr>
        <w:pStyle w:val="12"/>
        <w:adjustRightInd w:val="0"/>
        <w:snapToGrid w:val="0"/>
        <w:jc w:val="left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>Chungui Zhao (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"mailto:chungui@hqu.edu.cn"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Style w:val="15"/>
          <w:rFonts w:hint="default" w:ascii="Times New Roman" w:hAnsi="Times New Roman" w:cs="Times New Roman"/>
          <w:b/>
          <w:bCs/>
          <w:sz w:val="20"/>
          <w:szCs w:val="20"/>
        </w:rPr>
        <w:t>chungui@hqu.edu.cn</w:t>
      </w:r>
      <w:r>
        <w:rPr>
          <w:rStyle w:val="15"/>
          <w:rFonts w:hint="default"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>), +86-592-6166178</w:t>
      </w:r>
    </w:p>
    <w:p>
      <w:pPr>
        <w:pStyle w:val="12"/>
        <w:adjustRightInd w:val="0"/>
        <w:snapToGrid w:val="0"/>
        <w:jc w:val="left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Suping Yang 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"mailto:(yangsuping@hqu.edu.cn),"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Style w:val="15"/>
          <w:rFonts w:hint="default" w:ascii="Times New Roman" w:hAnsi="Times New Roman" w:cs="Times New Roman"/>
          <w:b/>
          <w:bCs/>
          <w:sz w:val="20"/>
          <w:szCs w:val="20"/>
        </w:rPr>
        <w:t>(yangsuping@hqu.edu.cn),</w:t>
      </w:r>
      <w:r>
        <w:rPr>
          <w:rStyle w:val="15"/>
          <w:rFonts w:hint="default"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 +86-592-6166178</w:t>
      </w:r>
    </w:p>
    <w:p>
      <w:pPr>
        <w:pStyle w:val="12"/>
        <w:adjustRightInd w:val="0"/>
        <w:snapToGrid w:val="0"/>
        <w:jc w:val="left"/>
        <w:rPr>
          <w:rFonts w:hint="default" w:ascii="Times New Roman" w:hAnsi="Times New Roman" w:cs="Times New Roman"/>
          <w:b/>
          <w:bCs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Christopher Rensing 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"mailto:(rensing@fafu.edu.cn)"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Style w:val="15"/>
          <w:rFonts w:hint="default" w:ascii="Times New Roman" w:hAnsi="Times New Roman" w:cs="Times New Roman"/>
          <w:b/>
          <w:bCs/>
          <w:sz w:val="20"/>
          <w:szCs w:val="20"/>
        </w:rPr>
        <w:t>(rensing@fafu.edu.cn)</w:t>
      </w:r>
      <w:r>
        <w:rPr>
          <w:rStyle w:val="15"/>
          <w:rFonts w:hint="default" w:ascii="Times New Roman" w:hAnsi="Times New Roman" w:cs="Times New Roman"/>
          <w:b/>
          <w:bCs/>
          <w:sz w:val="20"/>
          <w:szCs w:val="20"/>
        </w:rPr>
        <w:fldChar w:fldCharType="end"/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 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adjustRightInd w:val="0"/>
        <w:snapToGrid w:val="0"/>
        <w:spacing w:line="48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>
      <w:pPr>
        <w:adjustRightInd w:val="0"/>
        <w:snapToGrid w:val="0"/>
        <w:spacing w:line="48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>
      <w:pPr>
        <w:adjustRightInd w:val="0"/>
        <w:snapToGrid w:val="0"/>
        <w:spacing w:line="48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>
      <w:pPr>
        <w:adjustRightInd w:val="0"/>
        <w:snapToGrid w:val="0"/>
        <w:spacing w:line="48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>
      <w:pPr>
        <w:adjustRightInd w:val="0"/>
        <w:snapToGrid w:val="0"/>
        <w:spacing w:line="48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>
      <w:pPr>
        <w:adjustRightInd w:val="0"/>
        <w:snapToGrid w:val="0"/>
        <w:spacing w:line="480" w:lineRule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>Table S1</w:t>
      </w:r>
      <w:r>
        <w:rPr>
          <w:rFonts w:hint="default" w:ascii="Times New Roman" w:hAnsi="Times New Roman" w:cs="Times New Roman"/>
          <w:sz w:val="20"/>
          <w:szCs w:val="20"/>
        </w:rPr>
        <w:t xml:space="preserve"> Fitting parameters of As(III) and As(V) for growth inhibition rate of the mutants</w:t>
      </w:r>
    </w:p>
    <w:tbl>
      <w:tblPr>
        <w:tblStyle w:val="6"/>
        <w:tblpPr w:leftFromText="180" w:rightFromText="180" w:vertAnchor="text" w:horzAnchor="page" w:tblpX="1659" w:tblpY="252"/>
        <w:tblOverlap w:val="never"/>
        <w:tblW w:w="8274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0"/>
        <w:gridCol w:w="2860"/>
        <w:gridCol w:w="2059"/>
        <w:gridCol w:w="883"/>
        <w:gridCol w:w="151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</w:trPr>
        <w:tc>
          <w:tcPr>
            <w:tcW w:w="960" w:type="dxa"/>
            <w:tcBorders>
              <w:top w:val="single" w:color="auto" w:sz="12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60" w:after="60" w:line="48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speciation</w:t>
            </w:r>
          </w:p>
        </w:tc>
        <w:tc>
          <w:tcPr>
            <w:tcW w:w="2860" w:type="dxa"/>
            <w:tcBorders>
              <w:top w:val="single" w:color="auto" w:sz="12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60" w:after="60" w:line="48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strain</w:t>
            </w:r>
          </w:p>
        </w:tc>
        <w:tc>
          <w:tcPr>
            <w:tcW w:w="2059" w:type="dxa"/>
            <w:tcBorders>
              <w:top w:val="single" w:color="auto" w:sz="12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60" w:after="60" w:line="480" w:lineRule="auto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Fitting equation</w:t>
            </w:r>
          </w:p>
        </w:tc>
        <w:tc>
          <w:tcPr>
            <w:tcW w:w="883" w:type="dxa"/>
            <w:tcBorders>
              <w:top w:val="single" w:color="auto" w:sz="12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60" w:after="60" w:line="480" w:lineRule="auto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R</w:t>
            </w:r>
            <w:r>
              <w:rPr>
                <w:rStyle w:val="16"/>
                <w:rFonts w:hint="default" w:ascii="Times New Roman" w:hAnsi="Times New Roman" w:cs="Times New Roman"/>
                <w:sz w:val="20"/>
                <w:szCs w:val="20"/>
                <w:lang w:bidi="ar"/>
              </w:rPr>
              <w:t>2</w:t>
            </w:r>
          </w:p>
        </w:tc>
        <w:tc>
          <w:tcPr>
            <w:tcW w:w="1512" w:type="dxa"/>
            <w:tcBorders>
              <w:top w:val="single" w:color="auto" w:sz="12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60" w:after="60" w:line="480" w:lineRule="auto"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IC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subscript"/>
                <w:lang w:bidi="ar"/>
              </w:rPr>
              <w:t xml:space="preserve">50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(mmol/L)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960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60" w:after="60" w:line="48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As(III)</w:t>
            </w:r>
          </w:p>
        </w:tc>
        <w:tc>
          <w:tcPr>
            <w:tcW w:w="28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60" w:after="60" w:line="480" w:lineRule="auto"/>
              <w:textAlignment w:val="center"/>
              <w:rPr>
                <w:rFonts w:hint="default" w:ascii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>R. palustris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CGA009</w:t>
            </w:r>
          </w:p>
        </w:tc>
        <w:tc>
          <w:tcPr>
            <w:tcW w:w="205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60" w:after="60" w:line="480" w:lineRule="auto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y = 118.38 x - 328.24</w:t>
            </w:r>
          </w:p>
        </w:tc>
        <w:tc>
          <w:tcPr>
            <w:tcW w:w="88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60" w:after="60"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0.9959</w:t>
            </w:r>
          </w:p>
        </w:tc>
        <w:tc>
          <w:tcPr>
            <w:tcW w:w="151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60" w:after="60"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1.57</w:t>
            </w:r>
            <w:r>
              <w:rPr>
                <w:rStyle w:val="17"/>
                <w:rFonts w:hint="default" w:ascii="Times New Roman" w:hAnsi="Times New Roman" w:cs="Times New Roman"/>
                <w:sz w:val="20"/>
                <w:szCs w:val="20"/>
                <w:lang w:bidi="ar"/>
              </w:rPr>
              <w:t>±0</w:t>
            </w:r>
            <w:r>
              <w:rPr>
                <w:rStyle w:val="18"/>
                <w:rFonts w:hint="default" w:ascii="Times New Roman" w:hAnsi="Times New Roman" w:cs="Times New Roman"/>
                <w:sz w:val="20"/>
                <w:szCs w:val="20"/>
                <w:lang w:bidi="ar"/>
              </w:rPr>
              <w:t>.11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960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60" w:after="60" w:line="48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60" w:after="60" w:line="480" w:lineRule="auto"/>
              <w:textAlignment w:val="center"/>
              <w:rPr>
                <w:rFonts w:hint="default" w:ascii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R. palustris</w:t>
            </w:r>
            <w:r>
              <w:rPr>
                <w:rFonts w:hint="default" w:ascii="Times New Roman" w:hAnsi="Times New Roman" w:cs="Times New Roman"/>
                <w:color w:val="131413"/>
                <w:sz w:val="20"/>
                <w:szCs w:val="20"/>
              </w:rPr>
              <w:t xml:space="preserve"> CGA009 </w:t>
            </w:r>
            <w:r>
              <w:rPr>
                <w:rFonts w:hint="default" w:ascii="Times New Roman" w:hAnsi="Times New Roman" w:eastAsia="微软雅黑" w:cs="Times New Roman"/>
                <w:sz w:val="20"/>
                <w:szCs w:val="20"/>
              </w:rPr>
              <w:t>∆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>arsB</w:t>
            </w:r>
          </w:p>
        </w:tc>
        <w:tc>
          <w:tcPr>
            <w:tcW w:w="205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60" w:after="60" w:line="480" w:lineRule="auto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y = 110.54 x - 300.34</w:t>
            </w:r>
          </w:p>
        </w:tc>
        <w:tc>
          <w:tcPr>
            <w:tcW w:w="88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60" w:after="60"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0.9726</w:t>
            </w:r>
          </w:p>
        </w:tc>
        <w:tc>
          <w:tcPr>
            <w:tcW w:w="151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60" w:after="60"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1.47±0.02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960" w:type="dxa"/>
            <w:vMerge w:val="continue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60" w:after="60" w:line="48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60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60" w:after="60" w:line="480" w:lineRule="auto"/>
              <w:textAlignment w:val="center"/>
              <w:rPr>
                <w:rFonts w:hint="default" w:ascii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R. palustris</w:t>
            </w:r>
            <w:r>
              <w:rPr>
                <w:rFonts w:hint="default" w:ascii="Times New Roman" w:hAnsi="Times New Roman" w:cs="Times New Roman"/>
                <w:color w:val="131413"/>
                <w:sz w:val="20"/>
                <w:szCs w:val="20"/>
              </w:rPr>
              <w:t xml:space="preserve"> CGA009 </w:t>
            </w:r>
            <w:r>
              <w:rPr>
                <w:rFonts w:hint="default" w:ascii="Times New Roman" w:hAnsi="Times New Roman" w:eastAsia="微软雅黑" w:cs="Times New Roman"/>
                <w:sz w:val="20"/>
                <w:szCs w:val="20"/>
              </w:rPr>
              <w:t>∆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>acr3</w:t>
            </w:r>
          </w:p>
        </w:tc>
        <w:tc>
          <w:tcPr>
            <w:tcW w:w="2059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60" w:after="60" w:line="480" w:lineRule="auto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y = 84.54 x -210.63</w:t>
            </w:r>
          </w:p>
        </w:tc>
        <w:tc>
          <w:tcPr>
            <w:tcW w:w="883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60" w:after="60"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0.9833</w:t>
            </w:r>
          </w:p>
        </w:tc>
        <w:tc>
          <w:tcPr>
            <w:tcW w:w="1512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60" w:after="60"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1.21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±0.07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</w:trPr>
        <w:tc>
          <w:tcPr>
            <w:tcW w:w="960" w:type="dxa"/>
            <w:vMerge w:val="restart"/>
            <w:tcBorders>
              <w:top w:val="single" w:color="auto" w:sz="8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60" w:after="60"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As(V)</w:t>
            </w:r>
          </w:p>
        </w:tc>
        <w:tc>
          <w:tcPr>
            <w:tcW w:w="2860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60" w:after="60" w:line="480" w:lineRule="auto"/>
              <w:textAlignment w:val="center"/>
              <w:rPr>
                <w:rFonts w:hint="default" w:ascii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>R. palustris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CGA009</w:t>
            </w:r>
          </w:p>
        </w:tc>
        <w:tc>
          <w:tcPr>
            <w:tcW w:w="2059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60" w:after="60" w:line="480" w:lineRule="auto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y = 54.71 x - 137.45</w:t>
            </w:r>
          </w:p>
        </w:tc>
        <w:tc>
          <w:tcPr>
            <w:tcW w:w="883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60" w:after="60"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0.9927</w:t>
            </w:r>
          </w:p>
        </w:tc>
        <w:tc>
          <w:tcPr>
            <w:tcW w:w="1512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60" w:after="60"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2.67</w:t>
            </w:r>
            <w:r>
              <w:rPr>
                <w:rStyle w:val="19"/>
                <w:rFonts w:hint="default" w:ascii="Times New Roman" w:hAnsi="Times New Roman" w:cs="Times New Roman"/>
                <w:sz w:val="20"/>
                <w:szCs w:val="20"/>
                <w:lang w:bidi="ar"/>
              </w:rPr>
              <w:t>±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</w:trPr>
        <w:tc>
          <w:tcPr>
            <w:tcW w:w="960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60" w:after="60" w:line="48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6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60" w:after="60" w:line="480" w:lineRule="auto"/>
              <w:textAlignment w:val="center"/>
              <w:rPr>
                <w:rFonts w:hint="default" w:ascii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R. palustris</w:t>
            </w:r>
            <w:r>
              <w:rPr>
                <w:rFonts w:hint="default" w:ascii="Times New Roman" w:hAnsi="Times New Roman" w:cs="Times New Roman"/>
                <w:color w:val="131413"/>
                <w:sz w:val="20"/>
                <w:szCs w:val="20"/>
              </w:rPr>
              <w:t xml:space="preserve"> CGA009 </w:t>
            </w:r>
            <w:r>
              <w:rPr>
                <w:rFonts w:hint="default" w:ascii="Times New Roman" w:hAnsi="Times New Roman" w:eastAsia="微软雅黑" w:cs="Times New Roman"/>
                <w:sz w:val="20"/>
                <w:szCs w:val="20"/>
              </w:rPr>
              <w:t>∆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>arsB</w:t>
            </w:r>
          </w:p>
        </w:tc>
        <w:tc>
          <w:tcPr>
            <w:tcW w:w="205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60" w:after="60" w:line="480" w:lineRule="auto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y = 51.46 x - 121.22</w:t>
            </w:r>
          </w:p>
        </w:tc>
        <w:tc>
          <w:tcPr>
            <w:tcW w:w="883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60" w:after="60"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0.9953</w:t>
            </w:r>
          </w:p>
        </w:tc>
        <w:tc>
          <w:tcPr>
            <w:tcW w:w="151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60" w:after="60"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2.12</w:t>
            </w:r>
            <w:r>
              <w:rPr>
                <w:rStyle w:val="19"/>
                <w:rFonts w:hint="default" w:ascii="Times New Roman" w:hAnsi="Times New Roman" w:cs="Times New Roman"/>
                <w:sz w:val="20"/>
                <w:szCs w:val="20"/>
                <w:lang w:bidi="ar"/>
              </w:rPr>
              <w:t>±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</w:trPr>
        <w:tc>
          <w:tcPr>
            <w:tcW w:w="960" w:type="dxa"/>
            <w:vMerge w:val="continue"/>
            <w:tcBorders>
              <w:top w:val="single" w:color="000000" w:sz="4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60" w:after="60" w:line="48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60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60" w:after="60" w:line="480" w:lineRule="auto"/>
              <w:textAlignment w:val="center"/>
              <w:rPr>
                <w:rFonts w:hint="default" w:ascii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131413"/>
                <w:sz w:val="20"/>
                <w:szCs w:val="20"/>
              </w:rPr>
              <w:t>R. palustris</w:t>
            </w:r>
            <w:r>
              <w:rPr>
                <w:rFonts w:hint="default" w:ascii="Times New Roman" w:hAnsi="Times New Roman" w:cs="Times New Roman"/>
                <w:color w:val="131413"/>
                <w:sz w:val="20"/>
                <w:szCs w:val="20"/>
              </w:rPr>
              <w:t xml:space="preserve"> CGA009 </w:t>
            </w:r>
            <w:r>
              <w:rPr>
                <w:rFonts w:hint="default" w:ascii="Times New Roman" w:hAnsi="Times New Roman" w:eastAsia="微软雅黑" w:cs="Times New Roman"/>
                <w:sz w:val="20"/>
                <w:szCs w:val="20"/>
              </w:rPr>
              <w:t>∆</w:t>
            </w:r>
            <w:r>
              <w:rPr>
                <w:rFonts w:hint="default" w:ascii="Times New Roman" w:hAnsi="Times New Roman" w:cs="Times New Roman"/>
                <w:i/>
                <w:iCs/>
                <w:sz w:val="20"/>
                <w:szCs w:val="20"/>
              </w:rPr>
              <w:t>acr3</w:t>
            </w:r>
          </w:p>
        </w:tc>
        <w:tc>
          <w:tcPr>
            <w:tcW w:w="2059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60" w:after="60" w:line="480" w:lineRule="auto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y = 49.30 x - 110.02</w:t>
            </w:r>
          </w:p>
        </w:tc>
        <w:tc>
          <w:tcPr>
            <w:tcW w:w="883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60" w:after="60"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0.9844</w:t>
            </w:r>
          </w:p>
        </w:tc>
        <w:tc>
          <w:tcPr>
            <w:tcW w:w="1512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before="60" w:after="60"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1.76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±0.12</w:t>
            </w:r>
          </w:p>
        </w:tc>
      </w:tr>
    </w:tbl>
    <w:p>
      <w:pPr>
        <w:adjustRightInd w:val="0"/>
        <w:snapToGrid w:val="0"/>
        <w:spacing w:line="480" w:lineRule="auto"/>
        <w:rPr>
          <w:rFonts w:hint="default" w:ascii="Times New Roman" w:hAnsi="Times New Roman" w:cs="Times New Roman"/>
          <w:color w:val="131413"/>
          <w:sz w:val="20"/>
          <w:szCs w:val="20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jc w:val="center"/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4434205" cy="5173345"/>
            <wp:effectExtent l="0" t="0" r="4445" b="8255"/>
            <wp:docPr id="1" name="图片 1" descr="Fig.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.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34205" cy="5173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480" w:lineRule="auto"/>
        <w:rPr>
          <w:rFonts w:hint="default" w:ascii="Times New Roman" w:hAnsi="Times New Roman" w:cs="Times New Roman"/>
          <w:color w:val="000000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>Fig. S1</w:t>
      </w:r>
      <w:r>
        <w:rPr>
          <w:rFonts w:hint="default" w:ascii="Times New Roman" w:hAnsi="Times New Roman" w:cs="Times New Roman"/>
          <w:sz w:val="20"/>
          <w:szCs w:val="20"/>
        </w:rPr>
        <w:t xml:space="preserve"> The effects of As(V) and As(III) on the growth of </w:t>
      </w:r>
      <w:r>
        <w:rPr>
          <w:rFonts w:hint="default" w:ascii="Times New Roman" w:hAnsi="Times New Roman" w:cs="Times New Roman"/>
          <w:color w:val="131413"/>
          <w:sz w:val="20"/>
          <w:szCs w:val="20"/>
        </w:rPr>
        <w:t>the wild type and the mutants</w:t>
      </w:r>
      <w:r>
        <w:rPr>
          <w:rFonts w:hint="default" w:ascii="Times New Roman" w:hAnsi="Times New Roman" w:cs="Times New Roman"/>
          <w:sz w:val="20"/>
          <w:szCs w:val="20"/>
        </w:rPr>
        <w:t xml:space="preserve">. (a) </w:t>
      </w:r>
      <w:r>
        <w:rPr>
          <w:rFonts w:hint="default" w:ascii="Times New Roman" w:hAnsi="Times New Roman" w:cs="Times New Roman"/>
          <w:i/>
          <w:iCs/>
          <w:color w:val="131413"/>
          <w:sz w:val="20"/>
          <w:szCs w:val="20"/>
        </w:rPr>
        <w:t>R. palustris</w:t>
      </w:r>
      <w:r>
        <w:rPr>
          <w:rFonts w:hint="default" w:ascii="Times New Roman" w:hAnsi="Times New Roman" w:cs="Times New Roman"/>
          <w:color w:val="131413"/>
          <w:sz w:val="20"/>
          <w:szCs w:val="20"/>
        </w:rPr>
        <w:t xml:space="preserve"> CGA009</w:t>
      </w:r>
      <w:r>
        <w:rPr>
          <w:rFonts w:hint="default" w:ascii="Times New Roman" w:hAnsi="Times New Roman" w:cs="Times New Roman"/>
          <w:sz w:val="20"/>
          <w:szCs w:val="20"/>
        </w:rPr>
        <w:t xml:space="preserve">; (b) </w:t>
      </w:r>
      <w:r>
        <w:rPr>
          <w:rFonts w:hint="default" w:ascii="Times New Roman" w:hAnsi="Times New Roman" w:cs="Times New Roman"/>
          <w:i/>
          <w:iCs/>
          <w:color w:val="131413"/>
          <w:sz w:val="20"/>
          <w:szCs w:val="20"/>
        </w:rPr>
        <w:t>R. palustris</w:t>
      </w:r>
      <w:r>
        <w:rPr>
          <w:rFonts w:hint="default" w:ascii="Times New Roman" w:hAnsi="Times New Roman" w:cs="Times New Roman"/>
          <w:color w:val="131413"/>
          <w:sz w:val="20"/>
          <w:szCs w:val="20"/>
        </w:rPr>
        <w:t xml:space="preserve"> CGA009 </w:t>
      </w:r>
      <w:r>
        <w:rPr>
          <w:rFonts w:hint="default" w:ascii="Times New Roman" w:hAnsi="Times New Roman" w:eastAsia="微软雅黑" w:cs="Times New Roman"/>
          <w:sz w:val="20"/>
          <w:szCs w:val="20"/>
        </w:rPr>
        <w:t>∆</w:t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>arsB</w:t>
      </w:r>
      <w:r>
        <w:rPr>
          <w:rFonts w:hint="default" w:ascii="Times New Roman" w:hAnsi="Times New Roman" w:cs="Times New Roman"/>
          <w:sz w:val="20"/>
          <w:szCs w:val="20"/>
        </w:rPr>
        <w:t xml:space="preserve">; (c) </w:t>
      </w:r>
      <w:r>
        <w:rPr>
          <w:rFonts w:hint="default" w:ascii="Times New Roman" w:hAnsi="Times New Roman" w:cs="Times New Roman"/>
          <w:i/>
          <w:iCs/>
          <w:color w:val="131413"/>
          <w:sz w:val="20"/>
          <w:szCs w:val="20"/>
        </w:rPr>
        <w:t>R. palustris</w:t>
      </w:r>
      <w:r>
        <w:rPr>
          <w:rFonts w:hint="default" w:ascii="Times New Roman" w:hAnsi="Times New Roman" w:cs="Times New Roman"/>
          <w:color w:val="131413"/>
          <w:sz w:val="20"/>
          <w:szCs w:val="20"/>
        </w:rPr>
        <w:t xml:space="preserve"> CGA009 </w:t>
      </w:r>
      <w:r>
        <w:rPr>
          <w:rFonts w:hint="default" w:ascii="Times New Roman" w:hAnsi="Times New Roman" w:eastAsia="微软雅黑" w:cs="Times New Roman"/>
          <w:sz w:val="20"/>
          <w:szCs w:val="20"/>
        </w:rPr>
        <w:t>∆</w:t>
      </w:r>
      <w:r>
        <w:rPr>
          <w:rFonts w:hint="default" w:ascii="Times New Roman" w:hAnsi="Times New Roman" w:cs="Times New Roman"/>
          <w:i/>
          <w:iCs/>
          <w:color w:val="131413"/>
          <w:sz w:val="20"/>
          <w:szCs w:val="20"/>
        </w:rPr>
        <w:t>acr</w:t>
      </w:r>
      <w:r>
        <w:rPr>
          <w:rFonts w:hint="default" w:ascii="Times New Roman" w:hAnsi="Times New Roman" w:cs="Times New Roman"/>
          <w:color w:val="131413"/>
          <w:sz w:val="20"/>
          <w:szCs w:val="20"/>
        </w:rPr>
        <w:t xml:space="preserve">3. The corresponding concentration of As was added to </w:t>
      </w:r>
      <w:r>
        <w:rPr>
          <w:rFonts w:hint="default" w:ascii="Times New Roman" w:hAnsi="Times New Roman" w:cs="Times New Roman"/>
          <w:i/>
          <w:iCs/>
          <w:color w:val="131413"/>
          <w:sz w:val="20"/>
          <w:szCs w:val="20"/>
        </w:rPr>
        <w:t>R. palustris</w:t>
      </w:r>
      <w:r>
        <w:rPr>
          <w:rFonts w:hint="default" w:ascii="Times New Roman" w:hAnsi="Times New Roman" w:cs="Times New Roman"/>
          <w:color w:val="131413"/>
          <w:sz w:val="20"/>
          <w:szCs w:val="20"/>
        </w:rPr>
        <w:t xml:space="preserve"> CGA009 and its mutant strain with an </w:t>
      </w:r>
      <w:r>
        <w:rPr>
          <w:rFonts w:hint="default" w:ascii="Times New Roman" w:hAnsi="Times New Roman" w:cs="Times New Roman"/>
          <w:i/>
          <w:iCs/>
          <w:color w:val="131413"/>
          <w:sz w:val="20"/>
          <w:szCs w:val="20"/>
        </w:rPr>
        <w:t>OD</w:t>
      </w:r>
      <w:r>
        <w:rPr>
          <w:rFonts w:hint="default" w:ascii="Times New Roman" w:hAnsi="Times New Roman" w:cs="Times New Roman"/>
          <w:color w:val="131413"/>
          <w:sz w:val="20"/>
          <w:szCs w:val="20"/>
          <w:vertAlign w:val="subscript"/>
        </w:rPr>
        <w:t>660</w:t>
      </w:r>
      <w:r>
        <w:rPr>
          <w:rFonts w:hint="default" w:ascii="Times New Roman" w:hAnsi="Times New Roman" w:cs="Times New Roman"/>
          <w:color w:val="131413"/>
          <w:sz w:val="20"/>
          <w:szCs w:val="20"/>
        </w:rPr>
        <w:t xml:space="preserve"> of about 0.4, and cell growth was estimated by measuring </w:t>
      </w:r>
      <w:r>
        <w:rPr>
          <w:rFonts w:hint="default" w:ascii="Times New Roman" w:hAnsi="Times New Roman" w:cs="Times New Roman"/>
          <w:i/>
          <w:iCs/>
          <w:color w:val="131413"/>
          <w:sz w:val="20"/>
          <w:szCs w:val="20"/>
        </w:rPr>
        <w:t>OD</w:t>
      </w:r>
      <w:r>
        <w:rPr>
          <w:rFonts w:hint="default" w:ascii="Times New Roman" w:hAnsi="Times New Roman" w:cs="Times New Roman"/>
          <w:color w:val="131413"/>
          <w:sz w:val="20"/>
          <w:szCs w:val="20"/>
          <w:vertAlign w:val="subscript"/>
        </w:rPr>
        <w:t>660</w:t>
      </w:r>
      <w:r>
        <w:rPr>
          <w:rFonts w:hint="default" w:ascii="Times New Roman" w:hAnsi="Times New Roman" w:cs="Times New Roman"/>
          <w:color w:val="131413"/>
          <w:sz w:val="20"/>
          <w:szCs w:val="20"/>
        </w:rPr>
        <w:t xml:space="preserve"> every 12 h. </w:t>
      </w:r>
      <w:r>
        <w:rPr>
          <w:rFonts w:hint="default" w:ascii="Times New Roman" w:hAnsi="Times New Roman" w:cs="Times New Roman"/>
          <w:color w:val="000000"/>
          <w:sz w:val="20"/>
          <w:szCs w:val="20"/>
        </w:rPr>
        <w:t>Error bars indicate the standard deviation from three independent experiments</w:t>
      </w:r>
    </w:p>
    <w:p>
      <w:pPr>
        <w:spacing w:line="240" w:lineRule="atLeast"/>
        <w:rPr>
          <w:rFonts w:hint="default" w:ascii="Times New Roman" w:hAnsi="Times New Roman" w:cs="Times New Roman"/>
          <w:szCs w:val="21"/>
        </w:rPr>
      </w:pPr>
    </w:p>
    <w:sectPr>
      <w:pgSz w:w="11906" w:h="16838"/>
      <w:pgMar w:top="1440" w:right="1800" w:bottom="1440" w:left="1800" w:header="851" w:footer="992" w:gutter="0"/>
      <w:lnNumType w:countBy="0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ITCSymbolStd-MediumItali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283382"/>
    <w:rsid w:val="007D0FDE"/>
    <w:rsid w:val="00981795"/>
    <w:rsid w:val="00C251BB"/>
    <w:rsid w:val="0A5631FF"/>
    <w:rsid w:val="24626A5A"/>
    <w:rsid w:val="29283382"/>
    <w:rsid w:val="3A986FB3"/>
    <w:rsid w:val="3DE633EC"/>
    <w:rsid w:val="483D57CA"/>
    <w:rsid w:val="498752E2"/>
    <w:rsid w:val="577D24CC"/>
    <w:rsid w:val="5CBE112B"/>
    <w:rsid w:val="5D77287D"/>
    <w:rsid w:val="5E430A2E"/>
    <w:rsid w:val="766A7820"/>
    <w:rsid w:val="7C935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qFormat="1"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/>
      <w:outlineLvl w:val="0"/>
    </w:pPr>
    <w:rPr>
      <w:b/>
      <w:bCs/>
      <w:kern w:val="44"/>
      <w:sz w:val="28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ascii="Times New Roman" w:hAnsi="Times New Roman" w:eastAsia="宋体" w:cs="Times New Roman"/>
      <w:kern w:val="0"/>
      <w:sz w:val="24"/>
      <w:szCs w:val="21"/>
    </w:rPr>
  </w:style>
  <w:style w:type="character" w:styleId="8">
    <w:name w:val="line number"/>
    <w:basedOn w:val="7"/>
    <w:qFormat/>
    <w:uiPriority w:val="0"/>
  </w:style>
  <w:style w:type="character" w:styleId="9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1">
    <w:name w:val="02 Authors' names"/>
    <w:basedOn w:val="1"/>
    <w:qFormat/>
    <w:uiPriority w:val="0"/>
    <w:pPr>
      <w:widowControl/>
      <w:spacing w:before="120" w:after="120" w:line="480" w:lineRule="auto"/>
      <w:jc w:val="center"/>
    </w:pPr>
    <w:rPr>
      <w:rFonts w:ascii="Times" w:hAnsi="Times" w:cs="Times"/>
      <w:kern w:val="0"/>
      <w:sz w:val="26"/>
      <w:szCs w:val="26"/>
      <w:lang w:eastAsia="en-US"/>
    </w:rPr>
  </w:style>
  <w:style w:type="paragraph" w:customStyle="1" w:styleId="12">
    <w:name w:val="03 Affiliations"/>
    <w:basedOn w:val="1"/>
    <w:qFormat/>
    <w:uiPriority w:val="0"/>
    <w:pPr>
      <w:widowControl/>
      <w:spacing w:before="120" w:after="120" w:line="480" w:lineRule="auto"/>
      <w:jc w:val="center"/>
    </w:pPr>
    <w:rPr>
      <w:rFonts w:ascii="Times" w:hAnsi="Times" w:cs="Times"/>
      <w:kern w:val="0"/>
      <w:sz w:val="24"/>
      <w:szCs w:val="24"/>
      <w:lang w:eastAsia="en-US"/>
    </w:rPr>
  </w:style>
  <w:style w:type="character" w:customStyle="1" w:styleId="13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16"/>
    <w:basedOn w:val="7"/>
    <w:qFormat/>
    <w:uiPriority w:val="0"/>
    <w:rPr>
      <w:rFonts w:hint="default" w:ascii="Calibri" w:hAnsi="Calibri"/>
      <w:color w:val="0000FF"/>
      <w:u w:val="single"/>
    </w:rPr>
  </w:style>
  <w:style w:type="character" w:customStyle="1" w:styleId="16">
    <w:name w:val="font1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7">
    <w:name w:val="font11"/>
    <w:basedOn w:val="7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8">
    <w:name w:val="font112"/>
    <w:basedOn w:val="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9">
    <w:name w:val="font5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685</Words>
  <Characters>3906</Characters>
  <Lines>32</Lines>
  <Paragraphs>9</Paragraphs>
  <TotalTime>1</TotalTime>
  <ScaleCrop>false</ScaleCrop>
  <LinksUpToDate>false</LinksUpToDate>
  <CharactersWithSpaces>4582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2019-04-26T13:14:00Z</dcterms:created>
  <dc:creator>Jason</dc:creator>
  <cp:lastModifiedBy>Jason</cp:lastModifiedBy>
  <dcterms:modified xsi:type="dcterms:W3CDTF">2019-05-24T10:24:22Z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